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稿件版式</w:t>
      </w:r>
    </w:p>
    <w:p>
      <w:pPr>
        <w:spacing w:line="660" w:lineRule="exact"/>
        <w:ind w:firstLine="88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稿件字体和格式要求 </w:t>
      </w:r>
      <w:bookmarkStart w:id="0" w:name="_GoBack"/>
      <w:bookmarkEnd w:id="0"/>
    </w:p>
    <w:p>
      <w:pPr>
        <w:numPr>
          <w:ilvl w:val="0"/>
          <w:numId w:val="2"/>
        </w:numPr>
        <w:spacing w:line="560" w:lineRule="exact"/>
        <w:ind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论文题目：黑体、四号（不加粗），居中。 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作者姓名：楷体，小四，居中，置于论文题目下方。 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作者简介：以对作者姓名做注释（*符号）的方式，放在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论文首页脚注中，字体默认为宋体小五号，需包括作者姓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名、性别、学历、单位、职务、手机、电子邮箱等基本信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息。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正文中的一级标题应为“一、”，宋体、小四、加粗，单倍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行距，居中，段前段后距12磅。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正文中的二级标题应为“（一）”，楷体、小四、加粗，单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倍行距， 缩进2字符（空两格），段前段后距6磅。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正文中的三级标题应为“1.”，宋体、五号、加粗，单倍行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 xml:space="preserve">距，缩进2字符（空两格），段前段后距6磅。 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正文内容：中文字体宋体、西文字体 Times New Roman，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 xml:space="preserve">五号，单倍行距（勾选“定义文档网格时对齐网格”）。 </w:t>
      </w:r>
    </w:p>
    <w:p>
      <w:pPr>
        <w:numPr>
          <w:ilvl w:val="0"/>
          <w:numId w:val="2"/>
        </w:numPr>
        <w:spacing w:line="560" w:lineRule="exact"/>
        <w:ind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参考文献（如有）：放置文末，宋体、小五号，单倍行距。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稿件注释要求</w:t>
      </w:r>
    </w:p>
    <w:p>
      <w:pPr>
        <w:numPr>
          <w:ilvl w:val="0"/>
          <w:numId w:val="3"/>
        </w:numPr>
        <w:spacing w:line="560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文章注释采用脚注形式，以</w:t>
      </w:r>
      <w:r>
        <w:rPr>
          <w:rFonts w:ascii="Times New Roman" w:hAnsi="Times New Roman" w:eastAsia="仿宋_GB2312" w:cs="Times New Roman"/>
          <w:sz w:val="32"/>
          <w:szCs w:val="32"/>
        </w:rPr>
        <w:t>1234……</w:t>
      </w:r>
      <w:r>
        <w:rPr>
          <w:rFonts w:hint="eastAsia" w:ascii="仿宋_GB2312" w:eastAsia="仿宋_GB2312"/>
          <w:sz w:val="32"/>
          <w:szCs w:val="32"/>
        </w:rPr>
        <w:t>连续编号。</w:t>
      </w:r>
    </w:p>
    <w:p>
      <w:pPr>
        <w:numPr>
          <w:ilvl w:val="0"/>
          <w:numId w:val="3"/>
        </w:numPr>
        <w:spacing w:line="560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注释要规范完整：</w:t>
      </w:r>
    </w:p>
    <w:p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著作类须注明作者、书名、出版社、版次、页码；</w:t>
      </w:r>
    </w:p>
    <w:p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期刊类须注明作者、篇名、刊名、年代、期号、页码；</w:t>
      </w:r>
    </w:p>
    <w:p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引文出自互联网的，须注明篇名、详细网址及最后访问日期；</w:t>
      </w:r>
    </w:p>
    <w:p>
      <w:pPr>
        <w:numPr>
          <w:ilvl w:val="0"/>
          <w:numId w:val="4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引用裁判文书的，须注明裁判机构、案号、文书类型。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</w:rPr>
        <w:t>非直接引用原文时，注释前加“参见”；引用非原文资料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时，请注明“转引自”。应尽量避免转引。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</w:t>
      </w:r>
      <w:r>
        <w:rPr>
          <w:rFonts w:hint="eastAsia" w:ascii="仿宋_GB2312" w:eastAsia="仿宋_GB2312"/>
          <w:sz w:val="32"/>
          <w:szCs w:val="32"/>
        </w:rPr>
        <w:t>文章中多次引用同一文献的，在后注释样式应为“同注释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”，所引页码不同的，注明“同注释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x</w:t>
      </w:r>
      <w:r>
        <w:rPr>
          <w:rFonts w:hint="eastAsia" w:ascii="仿宋_GB2312" w:eastAsia="仿宋_GB2312"/>
          <w:sz w:val="32"/>
          <w:szCs w:val="32"/>
        </w:rPr>
        <w:t>，第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x</w:t>
      </w:r>
      <w:r>
        <w:rPr>
          <w:rFonts w:hint="eastAsia" w:ascii="仿宋_GB2312" w:eastAsia="仿宋_GB2312"/>
          <w:sz w:val="32"/>
          <w:szCs w:val="32"/>
        </w:rPr>
        <w:t xml:space="preserve"> 页”。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</w:t>
      </w:r>
      <w:r>
        <w:rPr>
          <w:rFonts w:hint="eastAsia" w:ascii="仿宋_GB2312" w:eastAsia="仿宋_GB2312"/>
          <w:sz w:val="32"/>
          <w:szCs w:val="32"/>
        </w:rPr>
        <w:t>英文注释</w:t>
      </w:r>
    </w:p>
    <w:p>
      <w:pPr>
        <w:numPr>
          <w:ilvl w:val="0"/>
          <w:numId w:val="5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作者姓名以“名前姓后”的顺序书写。多个作者的，在最后两位作者之间用“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&amp;</w:t>
      </w:r>
      <w:r>
        <w:rPr>
          <w:rFonts w:hint="eastAsia" w:ascii="仿宋_GB2312" w:eastAsia="仿宋_GB2312"/>
          <w:sz w:val="32"/>
          <w:szCs w:val="32"/>
        </w:rPr>
        <w:t>”连接；作者为三人以上，也可只注明第一作者，其后用“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et al.</w:t>
      </w:r>
      <w:r>
        <w:rPr>
          <w:rFonts w:hint="eastAsia" w:ascii="仿宋_GB2312" w:eastAsia="仿宋_GB2312"/>
          <w:sz w:val="32"/>
          <w:szCs w:val="32"/>
        </w:rPr>
        <w:t xml:space="preserve">”(意即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and others</w:t>
      </w:r>
      <w:r>
        <w:rPr>
          <w:rFonts w:hint="eastAsia" w:ascii="仿宋_GB2312" w:eastAsia="仿宋_GB2312"/>
          <w:sz w:val="32"/>
          <w:szCs w:val="32"/>
        </w:rPr>
        <w:t>) 标注。编著在编者姓名后加“(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ed.</w:t>
      </w:r>
      <w:r>
        <w:rPr>
          <w:rFonts w:hint="eastAsia" w:ascii="仿宋_GB2312" w:eastAsia="仿宋_GB2312"/>
          <w:sz w:val="32"/>
          <w:szCs w:val="32"/>
        </w:rPr>
        <w:t>)”( 一人 )或“(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eds.</w:t>
      </w:r>
      <w:r>
        <w:rPr>
          <w:rFonts w:hint="eastAsia" w:ascii="仿宋_GB2312" w:eastAsia="仿宋_GB2312"/>
          <w:sz w:val="32"/>
          <w:szCs w:val="32"/>
        </w:rPr>
        <w:t>)”( 多人 )。译著在文献名后注明译者。</w:t>
      </w:r>
    </w:p>
    <w:p>
      <w:pPr>
        <w:numPr>
          <w:ilvl w:val="0"/>
          <w:numId w:val="5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著作或文章名的首字母及实体词的首字母须大写。</w:t>
      </w:r>
    </w:p>
    <w:p>
      <w:pPr>
        <w:numPr>
          <w:ilvl w:val="0"/>
          <w:numId w:val="5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非引自原始出处的，注释前加“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quoted from</w:t>
      </w:r>
      <w:r>
        <w:rPr>
          <w:rFonts w:hint="eastAsia" w:ascii="仿宋_GB2312" w:eastAsia="仿宋_GB2312"/>
          <w:sz w:val="32"/>
          <w:szCs w:val="32"/>
        </w:rPr>
        <w:t>”。应尽量避免转引。</w:t>
      </w:r>
    </w:p>
    <w:p>
      <w:pPr>
        <w:numPr>
          <w:ilvl w:val="0"/>
          <w:numId w:val="5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页码用“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p.</w:t>
      </w:r>
      <w:r>
        <w:rPr>
          <w:rFonts w:hint="eastAsia" w:ascii="仿宋_GB2312" w:eastAsia="仿宋_GB2312"/>
          <w:sz w:val="32"/>
          <w:szCs w:val="32"/>
        </w:rPr>
        <w:t>”( 单页 ) 或“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pp.</w:t>
      </w:r>
      <w:r>
        <w:rPr>
          <w:rFonts w:hint="eastAsia" w:ascii="仿宋_GB2312" w:eastAsia="仿宋_GB2312"/>
          <w:sz w:val="32"/>
          <w:szCs w:val="32"/>
        </w:rPr>
        <w:t>”( 多页 ) 标注；段落用“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para.</w:t>
      </w:r>
      <w:r>
        <w:rPr>
          <w:rFonts w:hint="eastAsia" w:ascii="仿宋_GB2312" w:eastAsia="仿宋_GB2312"/>
          <w:sz w:val="32"/>
          <w:szCs w:val="32"/>
        </w:rPr>
        <w:t>”(单段 ) 或“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paras.</w:t>
      </w:r>
      <w:r>
        <w:rPr>
          <w:rFonts w:hint="eastAsia" w:ascii="仿宋_GB2312" w:eastAsia="仿宋_GB2312"/>
          <w:sz w:val="32"/>
          <w:szCs w:val="32"/>
        </w:rPr>
        <w:t>”( 多段 ) 标注；卷次用“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Vol.</w:t>
      </w:r>
      <w:r>
        <w:rPr>
          <w:rFonts w:hint="eastAsia" w:ascii="仿宋_GB2312" w:eastAsia="仿宋_GB2312"/>
          <w:sz w:val="32"/>
          <w:szCs w:val="32"/>
        </w:rPr>
        <w:t>”标注；版次用“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ed</w:t>
      </w:r>
      <w:r>
        <w:rPr>
          <w:rFonts w:hint="eastAsia" w:ascii="仿宋_GB2312" w:eastAsia="仿宋_GB2312"/>
          <w:sz w:val="32"/>
          <w:szCs w:val="32"/>
        </w:rPr>
        <w:t>.”标注。</w:t>
      </w:r>
    </w:p>
    <w:p>
      <w:pPr>
        <w:numPr>
          <w:ilvl w:val="0"/>
          <w:numId w:val="5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其他文种注释遵从该文种惯例。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（六）</w:t>
      </w:r>
      <w:r>
        <w:rPr>
          <w:rFonts w:hint="eastAsia" w:ascii="仿宋_GB2312" w:eastAsia="仿宋_GB2312"/>
          <w:sz w:val="32"/>
          <w:szCs w:val="32"/>
        </w:rPr>
        <w:t>中文类注释示例</w:t>
      </w:r>
    </w:p>
    <w:p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著作类　刘春田主编：《知识产权法》（第四版），中国人民大学出版社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2009 </w:t>
      </w:r>
      <w:r>
        <w:rPr>
          <w:rFonts w:hint="eastAsia" w:ascii="仿宋_GB2312" w:eastAsia="仿宋_GB2312"/>
          <w:sz w:val="32"/>
          <w:szCs w:val="32"/>
        </w:rPr>
        <w:t>年版，第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225 </w:t>
      </w:r>
      <w:r>
        <w:rPr>
          <w:rFonts w:hint="eastAsia" w:ascii="仿宋_GB2312" w:eastAsia="仿宋_GB2312"/>
          <w:sz w:val="32"/>
          <w:szCs w:val="32"/>
        </w:rPr>
        <w:t>页。</w:t>
      </w:r>
    </w:p>
    <w:p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期刊类　金泽俭：《专利申请文件修改的限制》，载《知识产权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》2002 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1 </w:t>
      </w:r>
      <w:r>
        <w:rPr>
          <w:rFonts w:hint="eastAsia" w:ascii="仿宋_GB2312" w:eastAsia="仿宋_GB2312"/>
          <w:sz w:val="32"/>
          <w:szCs w:val="32"/>
        </w:rPr>
        <w:t xml:space="preserve">期，第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 xml:space="preserve"> 页。</w:t>
      </w:r>
    </w:p>
    <w:p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译作类　[ 美 ] 理查德·波斯纳著：《法官如何思考》，苏力译，北京大学出版社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2009 </w:t>
      </w:r>
      <w:r>
        <w:rPr>
          <w:rFonts w:hint="eastAsia" w:ascii="仿宋_GB2312" w:eastAsia="仿宋_GB2312"/>
          <w:sz w:val="32"/>
          <w:szCs w:val="32"/>
        </w:rPr>
        <w:t>年版，第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7</w:t>
      </w:r>
      <w:r>
        <w:rPr>
          <w:rFonts w:hint="eastAsia" w:ascii="仿宋_GB2312" w:eastAsia="仿宋_GB2312"/>
          <w:sz w:val="32"/>
          <w:szCs w:val="32"/>
        </w:rPr>
        <w:t xml:space="preserve"> 页。</w:t>
      </w:r>
    </w:p>
    <w:p>
      <w:pPr>
        <w:numPr>
          <w:ilvl w:val="0"/>
          <w:numId w:val="6"/>
        </w:num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网络出版类　胡震远：《软件反向工程的合法性探讨》，载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http://www.iprlawyers.com/iprtml/0804/2006-3/6/20060306170456967.html，最后访问日期：2010 年 7 月 12 日。</w:t>
      </w:r>
    </w:p>
    <w:p>
      <w:pPr>
        <w:numPr>
          <w:ilvl w:val="0"/>
          <w:numId w:val="6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裁判文书类　北京知识产权法院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（2015）京</w:t>
      </w:r>
      <w:r>
        <w:rPr>
          <w:rFonts w:hint="eastAsia" w:ascii="仿宋_GB2312" w:eastAsia="仿宋_GB2312"/>
          <w:sz w:val="32"/>
          <w:szCs w:val="32"/>
        </w:rPr>
        <w:t xml:space="preserve">知民终字第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557 </w:t>
      </w:r>
      <w:r>
        <w:rPr>
          <w:rFonts w:hint="eastAsia" w:ascii="仿宋_GB2312" w:eastAsia="仿宋_GB2312"/>
          <w:sz w:val="32"/>
          <w:szCs w:val="32"/>
        </w:rPr>
        <w:t>号民事判决书。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（七）</w:t>
      </w:r>
      <w:r>
        <w:rPr>
          <w:rFonts w:hint="eastAsia" w:ascii="仿宋_GB2312" w:eastAsia="仿宋_GB2312"/>
          <w:sz w:val="32"/>
          <w:szCs w:val="32"/>
        </w:rPr>
        <w:t>英文类注释示例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 xml:space="preserve"> 著作 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注明：作者，文章名（斜体），卷次 ( 如有 )，版次 ( 如有 )，出版者，出版时间，页码。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H. L. A. Hart, The Concept of Law,  Oxford University Press, 1997, p.123.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 论文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文集文章类 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注明：作者，文章名（斜体），编者，文集名称，出版者，出版时间，页码。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R. A. Falk, To What Extent are International Law and International Lawyers Ideologically Neutral,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in A. Cassese &amp; J. H. H. Weiler (eds.),  Change and Stability in International Law-Making, De Gruyter,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1988, p. 137．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期刊文章类 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注明：作者，文章名（斜体），卷号 期刊简写 首页页码 ( 年份 )（所引内容所在具体页码）。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Eric A. Posner &amp; Cass R. Sunstein, Chevronizing Foreign Relations Law, 116 Yale L. J. 1170 (2007).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Mark A. Lemley &amp; Carl Shapiro, Patent Holdup and Royalty Stacking, 85 Tex. L. Rev. 1991 (2007), p. 1992.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报纸文章类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注明：作者 ( 不署名文章无此项 )，文章名（斜体），报纸名称，出版日期。可注明版别。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Clayton Jones, Japanese Link Increased Acid Rain to Distant Coal Plants in China, The Christian Science Monitor, Nov. 6, 1992, p.4.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 判例类 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注明：判例名，卷号 判例集名称 页码（法院年份）。可注明多个判例集出处，用逗号分开。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Janky v. Lake Cty. Convention &amp; Visitor Bur., 576 F.3d 356, 362 (7th Cir.2009).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辞书类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注明：辞书名 页码 ( 版次和出版时间 )。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Black s Law Dictionary 307 (8th ed. 2004).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 报告类 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注明：报告题目（斜体），发布机构及编号，发布日期，页码或段落。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Report of the Working Party on the Accession of China, WT/ACC/CHN/49,  2001, para.284.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 网络资料类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注明：作者，文章标题（斜体），网址，最后访问日期。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Daniel Gervais, The Role of Copyright Collectives in Web 2.0 Music Market, at http://works.bepress.com/daniel_gervais/11/，last visited：2018-12-31.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C119A"/>
    <w:multiLevelType w:val="singleLevel"/>
    <w:tmpl w:val="9BAC11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</w:abstractNum>
  <w:abstractNum w:abstractNumId="1">
    <w:nsid w:val="B381CC1A"/>
    <w:multiLevelType w:val="singleLevel"/>
    <w:tmpl w:val="B381CC1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b/>
        <w:bCs/>
      </w:rPr>
    </w:lvl>
  </w:abstractNum>
  <w:abstractNum w:abstractNumId="2">
    <w:nsid w:val="D829CD90"/>
    <w:multiLevelType w:val="singleLevel"/>
    <w:tmpl w:val="D829CD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D5A09A2"/>
    <w:multiLevelType w:val="singleLevel"/>
    <w:tmpl w:val="ED5A09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</w:abstractNum>
  <w:abstractNum w:abstractNumId="4">
    <w:nsid w:val="5B494743"/>
    <w:multiLevelType w:val="singleLevel"/>
    <w:tmpl w:val="5B49474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b/>
        <w:bCs/>
      </w:rPr>
    </w:lvl>
  </w:abstractNum>
  <w:abstractNum w:abstractNumId="5">
    <w:nsid w:val="608627B7"/>
    <w:multiLevelType w:val="singleLevel"/>
    <w:tmpl w:val="608627B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0ZTE2MDQ5ZTYwN2ZjZTdmYjRiMmI2ZWY1NGQwMDgifQ=="/>
  </w:docVars>
  <w:rsids>
    <w:rsidRoot w:val="389B598C"/>
    <w:rsid w:val="003D3C3A"/>
    <w:rsid w:val="00590451"/>
    <w:rsid w:val="005C24E3"/>
    <w:rsid w:val="007D1A06"/>
    <w:rsid w:val="00DA6288"/>
    <w:rsid w:val="00F97785"/>
    <w:rsid w:val="0A21777C"/>
    <w:rsid w:val="0F1B606A"/>
    <w:rsid w:val="17201E88"/>
    <w:rsid w:val="1B483ED2"/>
    <w:rsid w:val="234005AC"/>
    <w:rsid w:val="27102ED4"/>
    <w:rsid w:val="283D6A99"/>
    <w:rsid w:val="306F78B6"/>
    <w:rsid w:val="35F9471D"/>
    <w:rsid w:val="389B598C"/>
    <w:rsid w:val="43693FCA"/>
    <w:rsid w:val="475C68CC"/>
    <w:rsid w:val="47B5127A"/>
    <w:rsid w:val="51575AAA"/>
    <w:rsid w:val="51A27694"/>
    <w:rsid w:val="58567CAC"/>
    <w:rsid w:val="62217802"/>
    <w:rsid w:val="66012783"/>
    <w:rsid w:val="66E96DCF"/>
    <w:rsid w:val="7A937B10"/>
    <w:rsid w:val="7E4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530</Words>
  <Characters>3025</Characters>
  <Lines>25</Lines>
  <Paragraphs>7</Paragraphs>
  <TotalTime>32</TotalTime>
  <ScaleCrop>false</ScaleCrop>
  <LinksUpToDate>false</LinksUpToDate>
  <CharactersWithSpaces>3548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2024-02-06T01:17:00Z</dcterms:created>
  <dc:creator>VV初初次次</dc:creator>
  <cp:lastModifiedBy>张金钊</cp:lastModifiedBy>
  <dcterms:modified xsi:type="dcterms:W3CDTF">2024-02-18T02:37:36Z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4AABE40655A84B1BAA2247BEE37D9867_13</vt:lpwstr>
  </property>
</Properties>
</file>