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12" w:rsidRPr="00B1761A" w:rsidRDefault="004F4912" w:rsidP="004F4912">
      <w:pPr>
        <w:jc w:val="center"/>
        <w:rPr>
          <w:rFonts w:ascii="华文中宋" w:eastAsia="华文中宋" w:hAnsi="华文中宋"/>
          <w:b/>
          <w:sz w:val="40"/>
          <w:szCs w:val="44"/>
        </w:rPr>
      </w:pPr>
      <w:r w:rsidRPr="00B1761A">
        <w:rPr>
          <w:rFonts w:ascii="华文中宋" w:eastAsia="华文中宋" w:hAnsi="华文中宋" w:cs="宋体" w:hint="eastAsia"/>
          <w:b/>
          <w:bCs/>
          <w:color w:val="000000"/>
          <w:kern w:val="0"/>
          <w:sz w:val="40"/>
          <w:szCs w:val="44"/>
        </w:rPr>
        <w:t>第二届董必武青年法学成果奖</w:t>
      </w:r>
    </w:p>
    <w:p w:rsidR="004F4912" w:rsidRPr="00EC394A" w:rsidRDefault="004F4912" w:rsidP="004F4912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拟获奖名单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803"/>
        <w:gridCol w:w="2131"/>
        <w:gridCol w:w="1961"/>
      </w:tblGrid>
      <w:tr w:rsidR="00AD221D" w:rsidRPr="002C3441" w:rsidTr="00C257DA">
        <w:trPr>
          <w:trHeight w:val="907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6E1650" w:rsidP="006E1650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拟获</w:t>
            </w:r>
            <w:r w:rsidR="00AD221D"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奖项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AD221D" w:rsidRPr="006E1650" w:rsidRDefault="00F4647C" w:rsidP="00C041AD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三</w:t>
            </w:r>
            <w:r w:rsidR="00AD221D" w:rsidRPr="006E1650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等奖</w:t>
            </w:r>
          </w:p>
        </w:tc>
      </w:tr>
      <w:tr w:rsidR="00AD221D" w:rsidRPr="002C3441" w:rsidTr="00C257DA">
        <w:trPr>
          <w:trHeight w:val="776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作品名称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AD221D" w:rsidRPr="00295E2A" w:rsidRDefault="00C631AA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C631AA">
              <w:rPr>
                <w:rFonts w:ascii="仿宋_GB2312" w:eastAsia="仿宋_GB2312" w:hAnsi="宋体" w:hint="eastAsia"/>
                <w:b/>
                <w:sz w:val="28"/>
                <w:szCs w:val="28"/>
              </w:rPr>
              <w:t>人大监督程序研究</w:t>
            </w:r>
            <w:r w:rsidR="00826497">
              <w:rPr>
                <w:rFonts w:ascii="仿宋_GB2312" w:eastAsia="仿宋_GB2312" w:hAnsi="宋体" w:hint="eastAsia"/>
                <w:b/>
                <w:sz w:val="28"/>
                <w:szCs w:val="28"/>
              </w:rPr>
              <w:t>——</w:t>
            </w:r>
            <w:r w:rsidRPr="00C631AA">
              <w:rPr>
                <w:rFonts w:ascii="仿宋_GB2312" w:eastAsia="仿宋_GB2312" w:hAnsi="宋体" w:hint="eastAsia"/>
                <w:b/>
                <w:sz w:val="28"/>
                <w:szCs w:val="28"/>
              </w:rPr>
              <w:t>基于议事程序的视角</w:t>
            </w:r>
          </w:p>
        </w:tc>
      </w:tr>
      <w:tr w:rsidR="00AD221D" w:rsidRPr="002C3441" w:rsidTr="00C257DA">
        <w:trPr>
          <w:trHeight w:val="830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7E4E3A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出版社</w:t>
            </w:r>
            <w:r w:rsidR="00AD221D"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及时间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AD221D" w:rsidRPr="00295E2A" w:rsidRDefault="00826497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6497">
              <w:rPr>
                <w:rFonts w:ascii="仿宋_GB2312" w:eastAsia="仿宋_GB2312" w:hAnsi="宋体" w:hint="eastAsia"/>
                <w:b/>
                <w:sz w:val="28"/>
                <w:szCs w:val="28"/>
              </w:rPr>
              <w:t>中国法制出版社2014年3月版</w:t>
            </w:r>
          </w:p>
        </w:tc>
      </w:tr>
      <w:tr w:rsidR="00AD221D" w:rsidRPr="002C3441" w:rsidTr="00C257DA">
        <w:trPr>
          <w:trHeight w:val="907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作品类型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D221D" w:rsidRPr="006E1650" w:rsidRDefault="007E4E3A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/>
                <w:b/>
                <w:sz w:val="28"/>
                <w:szCs w:val="28"/>
              </w:rPr>
              <w:t>专著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学科类别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D221D" w:rsidRPr="006E1650" w:rsidRDefault="00826497" w:rsidP="00C041AD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宪法学</w:t>
            </w:r>
            <w:bookmarkStart w:id="0" w:name="_GoBack"/>
            <w:bookmarkEnd w:id="0"/>
          </w:p>
        </w:tc>
      </w:tr>
      <w:tr w:rsidR="00AD221D" w:rsidRPr="002C3441" w:rsidTr="00C257DA">
        <w:trPr>
          <w:trHeight w:val="907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作者姓名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D221D" w:rsidRPr="006E1650" w:rsidRDefault="00826497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6497">
              <w:rPr>
                <w:rFonts w:ascii="仿宋_GB2312" w:eastAsia="仿宋_GB2312" w:hAnsi="宋体" w:hint="eastAsia"/>
                <w:b/>
                <w:sz w:val="28"/>
                <w:szCs w:val="28"/>
              </w:rPr>
              <w:t>苏新建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D221D" w:rsidRPr="002C3441" w:rsidRDefault="00826497" w:rsidP="00F4647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26497">
              <w:rPr>
                <w:rFonts w:ascii="Times New Roman" w:eastAsia="仿宋_GB2312" w:hAnsi="Times New Roman"/>
                <w:sz w:val="28"/>
                <w:szCs w:val="28"/>
              </w:rPr>
              <w:t>1976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 w:rsidRPr="00826497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</w:p>
        </w:tc>
      </w:tr>
      <w:tr w:rsidR="00AD221D" w:rsidRPr="002C3441" w:rsidTr="00C257DA">
        <w:trPr>
          <w:trHeight w:val="854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所在单位</w:t>
            </w:r>
          </w:p>
        </w:tc>
        <w:tc>
          <w:tcPr>
            <w:tcW w:w="5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1D" w:rsidRPr="006E1650" w:rsidRDefault="00826497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6497">
              <w:rPr>
                <w:rFonts w:ascii="仿宋_GB2312" w:eastAsia="仿宋_GB2312" w:hAnsi="宋体" w:hint="eastAsia"/>
                <w:b/>
                <w:sz w:val="28"/>
                <w:szCs w:val="28"/>
              </w:rPr>
              <w:t>浙江工商大学法学院</w:t>
            </w:r>
          </w:p>
        </w:tc>
      </w:tr>
      <w:tr w:rsidR="00AD221D" w:rsidRPr="002C3441" w:rsidTr="00C257DA">
        <w:trPr>
          <w:trHeight w:val="85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职称职务</w:t>
            </w:r>
          </w:p>
        </w:tc>
        <w:tc>
          <w:tcPr>
            <w:tcW w:w="5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1D" w:rsidRPr="006E1650" w:rsidRDefault="00826497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6497">
              <w:rPr>
                <w:rFonts w:ascii="仿宋_GB2312" w:eastAsia="仿宋_GB2312" w:hAnsi="宋体" w:hint="eastAsia"/>
                <w:b/>
                <w:sz w:val="28"/>
                <w:szCs w:val="28"/>
              </w:rPr>
              <w:t>副教授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、副院长</w:t>
            </w:r>
          </w:p>
        </w:tc>
      </w:tr>
      <w:tr w:rsidR="00AD221D" w:rsidRPr="002C3441" w:rsidTr="004F4912">
        <w:trPr>
          <w:trHeight w:val="5617"/>
        </w:trPr>
        <w:tc>
          <w:tcPr>
            <w:tcW w:w="81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D221D" w:rsidRPr="006E1650" w:rsidRDefault="00AD221D" w:rsidP="00C041AD">
            <w:pPr>
              <w:spacing w:before="12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获奖理由：</w:t>
            </w:r>
          </w:p>
          <w:p w:rsidR="00AD221D" w:rsidRPr="00826497" w:rsidRDefault="00826497" w:rsidP="00826497">
            <w:pPr>
              <w:spacing w:after="120"/>
              <w:ind w:firstLineChars="200" w:firstLine="562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826497">
              <w:rPr>
                <w:rFonts w:ascii="仿宋_GB2312" w:eastAsia="仿宋_GB2312" w:hAnsi="宋体" w:hint="eastAsia"/>
                <w:b/>
                <w:sz w:val="28"/>
                <w:szCs w:val="28"/>
              </w:rPr>
              <w:t>本书对</w:t>
            </w:r>
            <w:r w:rsidRPr="00826497">
              <w:rPr>
                <w:rFonts w:ascii="仿宋_GB2312" w:eastAsia="仿宋_GB2312" w:hAnsi="宋体"/>
                <w:b/>
                <w:sz w:val="28"/>
                <w:szCs w:val="28"/>
              </w:rPr>
              <w:t>完善人大监督制度这一重要问题具有重要意义。</w:t>
            </w:r>
            <w:r w:rsidRPr="00826497">
              <w:rPr>
                <w:rFonts w:ascii="仿宋_GB2312" w:eastAsia="仿宋_GB2312" w:hAnsi="宋体" w:hint="eastAsia"/>
                <w:b/>
                <w:sz w:val="28"/>
                <w:szCs w:val="28"/>
              </w:rPr>
              <w:t>内容</w:t>
            </w:r>
            <w:r w:rsidRPr="00826497">
              <w:rPr>
                <w:rFonts w:ascii="仿宋_GB2312" w:eastAsia="仿宋_GB2312" w:hAnsi="宋体"/>
                <w:b/>
                <w:sz w:val="28"/>
                <w:szCs w:val="28"/>
              </w:rPr>
              <w:t>具有相当的</w:t>
            </w:r>
            <w:r w:rsidRPr="00826497">
              <w:rPr>
                <w:rFonts w:ascii="仿宋_GB2312" w:eastAsia="仿宋_GB2312" w:hAnsi="宋体" w:hint="eastAsia"/>
                <w:b/>
                <w:sz w:val="28"/>
                <w:szCs w:val="28"/>
              </w:rPr>
              <w:t>深度。</w:t>
            </w:r>
            <w:r w:rsidRPr="00826497">
              <w:rPr>
                <w:rFonts w:ascii="仿宋_GB2312" w:eastAsia="仿宋_GB2312" w:hAnsi="宋体"/>
                <w:b/>
                <w:sz w:val="28"/>
                <w:szCs w:val="28"/>
              </w:rPr>
              <w:t>特别是</w:t>
            </w:r>
            <w:r w:rsidRPr="00826497">
              <w:rPr>
                <w:rFonts w:ascii="仿宋_GB2312" w:eastAsia="仿宋_GB2312" w:hAnsi="宋体" w:hint="eastAsia"/>
                <w:b/>
                <w:sz w:val="28"/>
                <w:szCs w:val="28"/>
              </w:rPr>
              <w:t>从</w:t>
            </w:r>
            <w:r w:rsidRPr="00826497">
              <w:rPr>
                <w:rFonts w:ascii="仿宋_GB2312" w:eastAsia="仿宋_GB2312" w:hAnsi="宋体"/>
                <w:b/>
                <w:sz w:val="28"/>
                <w:szCs w:val="28"/>
              </w:rPr>
              <w:t>人大监督程序化是</w:t>
            </w:r>
            <w:r w:rsidRPr="00826497">
              <w:rPr>
                <w:rFonts w:ascii="仿宋_GB2312" w:eastAsia="仿宋_GB2312" w:hAnsi="宋体" w:hint="eastAsia"/>
                <w:b/>
                <w:sz w:val="28"/>
                <w:szCs w:val="28"/>
              </w:rPr>
              <w:t>其</w:t>
            </w:r>
            <w:r w:rsidRPr="00826497">
              <w:rPr>
                <w:rFonts w:ascii="仿宋_GB2312" w:eastAsia="仿宋_GB2312" w:hAnsi="宋体"/>
                <w:b/>
                <w:sz w:val="28"/>
                <w:szCs w:val="28"/>
              </w:rPr>
              <w:t>监督权正当化的要求出发，横向比较主要国家的情况，纵向论述了程序正义理论以及议会的监督功能，</w:t>
            </w:r>
            <w:r w:rsidRPr="00826497">
              <w:rPr>
                <w:rFonts w:ascii="仿宋_GB2312" w:eastAsia="仿宋_GB2312" w:hAnsi="宋体" w:hint="eastAsia"/>
                <w:b/>
                <w:sz w:val="28"/>
                <w:szCs w:val="28"/>
              </w:rPr>
              <w:t>进而</w:t>
            </w:r>
            <w:r w:rsidRPr="00826497">
              <w:rPr>
                <w:rFonts w:ascii="仿宋_GB2312" w:eastAsia="仿宋_GB2312" w:hAnsi="宋体"/>
                <w:b/>
                <w:sz w:val="28"/>
                <w:szCs w:val="28"/>
              </w:rPr>
              <w:t>深入分析了中国人大的监督功能、</w:t>
            </w:r>
            <w:r w:rsidRPr="00826497">
              <w:rPr>
                <w:rFonts w:ascii="仿宋_GB2312" w:eastAsia="仿宋_GB2312" w:hAnsi="宋体" w:hint="eastAsia"/>
                <w:b/>
                <w:sz w:val="28"/>
                <w:szCs w:val="28"/>
              </w:rPr>
              <w:t>实践</w:t>
            </w:r>
            <w:r w:rsidRPr="00826497">
              <w:rPr>
                <w:rFonts w:ascii="仿宋_GB2312" w:eastAsia="仿宋_GB2312" w:hAnsi="宋体"/>
                <w:b/>
                <w:sz w:val="28"/>
                <w:szCs w:val="28"/>
              </w:rPr>
              <w:t>、</w:t>
            </w:r>
            <w:r w:rsidRPr="00826497">
              <w:rPr>
                <w:rFonts w:ascii="仿宋_GB2312" w:eastAsia="仿宋_GB2312" w:hAnsi="宋体" w:hint="eastAsia"/>
                <w:b/>
                <w:sz w:val="28"/>
                <w:szCs w:val="28"/>
              </w:rPr>
              <w:t>议事规则</w:t>
            </w:r>
            <w:r w:rsidRPr="00826497">
              <w:rPr>
                <w:rFonts w:ascii="仿宋_GB2312" w:eastAsia="仿宋_GB2312" w:hAnsi="宋体"/>
                <w:b/>
                <w:sz w:val="28"/>
                <w:szCs w:val="28"/>
              </w:rPr>
              <w:t>程序等，提出了完善议事规则的建议，</w:t>
            </w:r>
            <w:r w:rsidRPr="00826497">
              <w:rPr>
                <w:rFonts w:ascii="仿宋_GB2312" w:eastAsia="仿宋_GB2312" w:hAnsi="宋体" w:hint="eastAsia"/>
                <w:b/>
                <w:sz w:val="28"/>
                <w:szCs w:val="28"/>
              </w:rPr>
              <w:t>对</w:t>
            </w:r>
            <w:r w:rsidRPr="00826497">
              <w:rPr>
                <w:rFonts w:ascii="仿宋_GB2312" w:eastAsia="仿宋_GB2312" w:hAnsi="宋体"/>
                <w:b/>
                <w:sz w:val="28"/>
                <w:szCs w:val="28"/>
              </w:rPr>
              <w:t>科学、民主立法</w:t>
            </w:r>
            <w:r w:rsidRPr="00826497">
              <w:rPr>
                <w:rFonts w:ascii="仿宋_GB2312" w:eastAsia="仿宋_GB2312" w:hAnsi="宋体" w:hint="eastAsia"/>
                <w:b/>
                <w:sz w:val="28"/>
                <w:szCs w:val="28"/>
              </w:rPr>
              <w:t>很有意义</w:t>
            </w:r>
            <w:r w:rsidRPr="00826497">
              <w:rPr>
                <w:rFonts w:ascii="仿宋_GB2312" w:eastAsia="仿宋_GB2312" w:hAnsi="宋体"/>
                <w:b/>
                <w:sz w:val="28"/>
                <w:szCs w:val="28"/>
              </w:rPr>
              <w:t>。对完善我国的人大制度</w:t>
            </w:r>
            <w:r w:rsidRPr="00826497">
              <w:rPr>
                <w:rFonts w:ascii="仿宋_GB2312" w:eastAsia="仿宋_GB2312" w:hAnsi="宋体" w:hint="eastAsia"/>
                <w:b/>
                <w:sz w:val="28"/>
                <w:szCs w:val="28"/>
              </w:rPr>
              <w:t>，</w:t>
            </w:r>
            <w:r w:rsidRPr="00826497">
              <w:rPr>
                <w:rFonts w:ascii="仿宋_GB2312" w:eastAsia="仿宋_GB2312" w:hAnsi="宋体"/>
                <w:b/>
                <w:sz w:val="28"/>
                <w:szCs w:val="28"/>
              </w:rPr>
              <w:t>加强权力监督，</w:t>
            </w:r>
            <w:r w:rsidRPr="00826497">
              <w:rPr>
                <w:rFonts w:ascii="仿宋_GB2312" w:eastAsia="仿宋_GB2312" w:hAnsi="宋体" w:hint="eastAsia"/>
                <w:b/>
                <w:sz w:val="28"/>
                <w:szCs w:val="28"/>
              </w:rPr>
              <w:t>有</w:t>
            </w:r>
            <w:r w:rsidRPr="00826497">
              <w:rPr>
                <w:rFonts w:ascii="仿宋_GB2312" w:eastAsia="仿宋_GB2312" w:hAnsi="宋体"/>
                <w:b/>
                <w:sz w:val="28"/>
                <w:szCs w:val="28"/>
              </w:rPr>
              <w:t>现实价值。</w:t>
            </w:r>
          </w:p>
        </w:tc>
      </w:tr>
    </w:tbl>
    <w:p w:rsidR="00AD221D" w:rsidRPr="00AD221D" w:rsidRDefault="00AD221D"/>
    <w:sectPr w:rsidR="00AD221D" w:rsidRPr="00AD2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9EB" w:rsidRDefault="004359EB" w:rsidP="00713C6F">
      <w:r>
        <w:separator/>
      </w:r>
    </w:p>
  </w:endnote>
  <w:endnote w:type="continuationSeparator" w:id="0">
    <w:p w:rsidR="004359EB" w:rsidRDefault="004359EB" w:rsidP="0071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9EB" w:rsidRDefault="004359EB" w:rsidP="00713C6F">
      <w:r>
        <w:separator/>
      </w:r>
    </w:p>
  </w:footnote>
  <w:footnote w:type="continuationSeparator" w:id="0">
    <w:p w:rsidR="004359EB" w:rsidRDefault="004359EB" w:rsidP="00713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1D"/>
    <w:rsid w:val="0016157C"/>
    <w:rsid w:val="00250398"/>
    <w:rsid w:val="00276075"/>
    <w:rsid w:val="00295E2A"/>
    <w:rsid w:val="002C3441"/>
    <w:rsid w:val="004359EB"/>
    <w:rsid w:val="004F4912"/>
    <w:rsid w:val="006E1650"/>
    <w:rsid w:val="00713C6F"/>
    <w:rsid w:val="00784026"/>
    <w:rsid w:val="007E184C"/>
    <w:rsid w:val="007E4E3A"/>
    <w:rsid w:val="00826497"/>
    <w:rsid w:val="00AC3F74"/>
    <w:rsid w:val="00AD221D"/>
    <w:rsid w:val="00B02162"/>
    <w:rsid w:val="00B1761A"/>
    <w:rsid w:val="00B954CE"/>
    <w:rsid w:val="00C257DA"/>
    <w:rsid w:val="00C631AA"/>
    <w:rsid w:val="00CD227B"/>
    <w:rsid w:val="00F22EC7"/>
    <w:rsid w:val="00F4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C6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C6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C6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C6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cqx</dc:creator>
  <cp:lastModifiedBy>cqx</cp:lastModifiedBy>
  <cp:revision>3</cp:revision>
  <dcterms:created xsi:type="dcterms:W3CDTF">2014-08-29T11:16:00Z</dcterms:created>
  <dcterms:modified xsi:type="dcterms:W3CDTF">2014-08-29T11:18:00Z</dcterms:modified>
</cp:coreProperties>
</file>